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CFA0" w14:textId="7DD05793" w:rsidR="007B06D9" w:rsidRPr="00505571" w:rsidRDefault="00BA503C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:sz w:val="20"/>
          <w:szCs w:val="20"/>
          <w14:ligatures w14:val="none"/>
        </w:rPr>
      </w:pPr>
      <w:r>
        <w:rPr>
          <w:rFonts w:ascii="Lato" w:eastAsia="Times New Roman" w:hAnsi="Lato" w:cs="Times New Roman"/>
          <w:color w:val="236FA1"/>
          <w:kern w:val="0"/>
          <w:sz w:val="48"/>
          <w:szCs w:val="48"/>
          <w14:ligatures w14:val="none"/>
        </w:rPr>
        <w:t>MCB6937</w:t>
      </w:r>
      <w:r w:rsidR="00505571" w:rsidRPr="00505571">
        <w:rPr>
          <w:rFonts w:ascii="Lato" w:eastAsia="Times New Roman" w:hAnsi="Lato" w:cs="Times New Roman"/>
          <w:color w:val="236FA1"/>
          <w:kern w:val="0"/>
          <w:sz w:val="48"/>
          <w:szCs w:val="48"/>
          <w14:ligatures w14:val="none"/>
        </w:rPr>
        <w:t xml:space="preserve"> </w:t>
      </w:r>
      <w:r w:rsidR="007B06D9" w:rsidRPr="00505571">
        <w:rPr>
          <w:rFonts w:ascii="Lato" w:eastAsia="Times New Roman" w:hAnsi="Lato" w:cs="Times New Roman"/>
          <w:color w:val="236FA1"/>
          <w:kern w:val="0"/>
          <w:sz w:val="48"/>
          <w:szCs w:val="48"/>
          <w14:ligatures w14:val="none"/>
        </w:rPr>
        <w:t>Syllabus Outline for spring 2023</w:t>
      </w:r>
    </w:p>
    <w:p w14:paraId="48661520" w14:textId="77777777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E03E2D"/>
          <w:kern w:val="0"/>
          <w:sz w:val="28"/>
          <w:szCs w:val="28"/>
          <w14:ligatures w14:val="none"/>
        </w:rPr>
        <w:t>Please do not use the Canvas</w:t>
      </w:r>
      <w:r w:rsidRPr="007B06D9"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  <w:t> </w:t>
      </w:r>
      <w:r w:rsidRPr="007B06D9">
        <w:rPr>
          <w:rFonts w:ascii="Lato" w:eastAsia="Times New Roman" w:hAnsi="Lato" w:cs="Times New Roman"/>
          <w:b/>
          <w:bCs/>
          <w:color w:val="FF0000"/>
          <w:kern w:val="0"/>
          <w:sz w:val="28"/>
          <w:szCs w:val="28"/>
          <w14:ligatures w14:val="none"/>
        </w:rPr>
        <w:t>Grade Book</w:t>
      </w:r>
      <w:r w:rsidRPr="007B06D9">
        <w:rPr>
          <w:rFonts w:ascii="Lato" w:eastAsia="Times New Roman" w:hAnsi="Lato" w:cs="Times New Roman"/>
          <w:color w:val="FF0000"/>
          <w:kern w:val="0"/>
          <w:sz w:val="28"/>
          <w:szCs w:val="28"/>
          <w14:ligatures w14:val="none"/>
        </w:rPr>
        <w:t> 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to determine your final grade in the course. Use the </w:t>
      </w: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Syllabus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 or the </w:t>
      </w: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Final Grade Calculator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 to see how you are doing.</w:t>
      </w:r>
    </w:p>
    <w:p w14:paraId="0F454AF7" w14:textId="77777777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Exam dates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: All exams will be open for multiple days. This course is "information-dense," as they say, so you must spend some time each day keeping up. A survey of students in this course last semester indicated that the average time spent studying per week was from 4-6 hr.</w:t>
      </w:r>
    </w:p>
    <w:p w14:paraId="70598D24" w14:textId="77777777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1-Exams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 (92.0% of grade)</w:t>
      </w:r>
    </w:p>
    <w:p w14:paraId="36888CC0" w14:textId="77777777" w:rsidR="007B06D9" w:rsidRPr="007B06D9" w:rsidRDefault="007B06D9" w:rsidP="007B06D9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color w:val="2D3B45"/>
          <w:kern w:val="0"/>
          <w:sz w:val="43"/>
          <w:szCs w:val="43"/>
          <w14:ligatures w14:val="none"/>
        </w:rPr>
      </w:pPr>
      <w:r w:rsidRPr="007B06D9">
        <w:rPr>
          <w:rFonts w:ascii="Lato" w:eastAsia="Times New Roman" w:hAnsi="Lato" w:cs="Times New Roman"/>
          <w:color w:val="2D3B45"/>
          <w:kern w:val="0"/>
          <w:sz w:val="43"/>
          <w:szCs w:val="43"/>
          <w14:ligatures w14:val="none"/>
        </w:rPr>
        <w:t>Spring 2023 Exam Calendar:</w:t>
      </w:r>
    </w:p>
    <w:p w14:paraId="2F8C602B" w14:textId="77777777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Exam 1 Jan 28-Feb 1</w:t>
      </w:r>
      <w:proofErr w:type="gramStart"/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 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  (</w:t>
      </w:r>
      <w:proofErr w:type="gramEnd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7 hr of material)       (17.3% of final grade)</w:t>
      </w:r>
    </w:p>
    <w:p w14:paraId="375210DD" w14:textId="7B14C3C8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Exam 2 Feb 25-Mar 1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 xml:space="preserve"> (11 hr of </w:t>
      </w:r>
      <w:proofErr w:type="gramStart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material)  (</w:t>
      </w:r>
      <w:proofErr w:type="gramEnd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24.9% of final grade)</w:t>
      </w:r>
    </w:p>
    <w:p w14:paraId="625DAD73" w14:textId="4215479D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Exam 3 Apr 1-</w:t>
      </w:r>
      <w:proofErr w:type="gramStart"/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5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  (</w:t>
      </w:r>
      <w:proofErr w:type="gramEnd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 xml:space="preserve">13 </w:t>
      </w:r>
      <w:proofErr w:type="spellStart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hr</w:t>
      </w:r>
      <w:proofErr w:type="spellEnd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 xml:space="preserve"> of material)    (24.9% of final grade)</w:t>
      </w:r>
    </w:p>
    <w:p w14:paraId="3ED3F356" w14:textId="4F95F464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b/>
          <w:bCs/>
          <w:color w:val="2D3B45"/>
          <w:kern w:val="0"/>
          <w14:ligatures w14:val="none"/>
        </w:rPr>
        <w:t>Exam 4 Apr 29-May 2</w: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 xml:space="preserve"> (12 </w:t>
      </w:r>
      <w:proofErr w:type="spellStart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>hr</w:t>
      </w:r>
      <w:proofErr w:type="spellEnd"/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t xml:space="preserve"> of material) (24.9% of final grade)</w:t>
      </w:r>
    </w:p>
    <w:p w14:paraId="52508E0E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Optional re-take Final: May 3-5 </w:t>
      </w:r>
      <w:r>
        <w:rPr>
          <w:rFonts w:ascii="Lato" w:hAnsi="Lato"/>
          <w:color w:val="2D3B45"/>
        </w:rPr>
        <w:t>(a chance to re-take your lowest exam. Only your highest score will be used.)</w:t>
      </w:r>
    </w:p>
    <w:p w14:paraId="776682DA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(Total from Exams + 92.0%)</w:t>
      </w:r>
    </w:p>
    <w:p w14:paraId="32B6E83F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2-Homework Quizzes</w:t>
      </w:r>
      <w:r>
        <w:rPr>
          <w:rFonts w:ascii="Lato" w:hAnsi="Lato"/>
          <w:color w:val="2D3B45"/>
        </w:rPr>
        <w:t> (3.5% of grade)</w:t>
      </w:r>
    </w:p>
    <w:p w14:paraId="2DF886E3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3-Gene Structure/Bioinformatics</w:t>
      </w:r>
      <w:r>
        <w:rPr>
          <w:rFonts w:ascii="Lato" w:hAnsi="Lato"/>
          <w:color w:val="2D3B45"/>
        </w:rPr>
        <w:t> Parts </w:t>
      </w:r>
      <w:hyperlink r:id="rId4" w:tooltip="Gene Structure/Bioinformatics Project Part-1B Bacterial Promoter (Optional)" w:history="1">
        <w:r>
          <w:rPr>
            <w:rStyle w:val="Hyperlink"/>
            <w:rFonts w:ascii="Lato" w:hAnsi="Lato"/>
          </w:rPr>
          <w:t>1</w:t>
        </w:r>
      </w:hyperlink>
      <w:r>
        <w:rPr>
          <w:rFonts w:ascii="Lato" w:hAnsi="Lato"/>
          <w:color w:val="2D3B45"/>
        </w:rPr>
        <w:t>, </w:t>
      </w:r>
      <w:hyperlink r:id="rId5" w:tooltip="Gene Structure/bioinformatics Project-Part 2 Eukaryotic Genes" w:history="1">
        <w:r>
          <w:rPr>
            <w:rStyle w:val="Hyperlink"/>
            <w:rFonts w:ascii="Lato" w:hAnsi="Lato"/>
          </w:rPr>
          <w:t>2</w:t>
        </w:r>
      </w:hyperlink>
      <w:r>
        <w:rPr>
          <w:rFonts w:ascii="Lato" w:hAnsi="Lato"/>
          <w:color w:val="2D3B45"/>
        </w:rPr>
        <w:t>, &amp; </w:t>
      </w:r>
      <w:hyperlink r:id="rId6" w:tooltip="Gene Structure/Bioinformatics Project Part-3 unknown cDNA" w:history="1">
        <w:r>
          <w:rPr>
            <w:rStyle w:val="Hyperlink"/>
            <w:rFonts w:ascii="Lato" w:hAnsi="Lato"/>
          </w:rPr>
          <w:t>3</w:t>
        </w:r>
      </w:hyperlink>
      <w:r>
        <w:rPr>
          <w:rFonts w:ascii="Lato" w:hAnsi="Lato"/>
          <w:color w:val="2D3B45"/>
        </w:rPr>
        <w:t> (4.0% of grade)</w:t>
      </w:r>
    </w:p>
    <w:p w14:paraId="325B8FAD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Emphasis"/>
          <w:rFonts w:ascii="Lato" w:hAnsi="Lato"/>
          <w:color w:val="2D3B45"/>
        </w:rPr>
        <w:t>Due dates:</w:t>
      </w:r>
    </w:p>
    <w:p w14:paraId="7DA3B82F" w14:textId="46CD857B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Part-1 </w:t>
      </w:r>
      <w:r>
        <w:rPr>
          <w:rFonts w:ascii="Lato" w:hAnsi="Lato"/>
          <w:color w:val="2D3B45"/>
        </w:rPr>
        <w:t>&amp; (Part 1B</w:t>
      </w:r>
      <w:r>
        <w:rPr>
          <w:rFonts w:ascii="Lato" w:hAnsi="Lato"/>
          <w:color w:val="2D3B45"/>
        </w:rPr>
        <w:t xml:space="preserve"> </w:t>
      </w:r>
      <w:r>
        <w:rPr>
          <w:rFonts w:ascii="Lato" w:hAnsi="Lato"/>
          <w:color w:val="2D3B45"/>
        </w:rPr>
        <w:t>optional)</w:t>
      </w:r>
      <w:r>
        <w:rPr>
          <w:rStyle w:val="Strong"/>
          <w:rFonts w:ascii="Lato" w:hAnsi="Lato"/>
          <w:color w:val="2D3B45"/>
        </w:rPr>
        <w:t> Mar 9</w:t>
      </w:r>
    </w:p>
    <w:p w14:paraId="0CDDE933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Part-2   Mar 29</w:t>
      </w:r>
    </w:p>
    <w:p w14:paraId="38480266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Part-3   Apr 6</w:t>
      </w:r>
    </w:p>
    <w:p w14:paraId="3D90D7B9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4-Graduate Presentation: PowerPoint slides: Apr 27 </w:t>
      </w:r>
      <w:r>
        <w:rPr>
          <w:rFonts w:ascii="Lato" w:hAnsi="Lato"/>
          <w:color w:val="2D3B45"/>
        </w:rPr>
        <w:t>(2.0%)</w:t>
      </w:r>
    </w:p>
    <w:p w14:paraId="78B0B7C9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5-Genome Engineering 2022 all parts:</w:t>
      </w:r>
      <w:r>
        <w:rPr>
          <w:rFonts w:ascii="Lato" w:hAnsi="Lato"/>
          <w:color w:val="2D3B45"/>
        </w:rPr>
        <w:t> </w:t>
      </w:r>
      <w:r>
        <w:rPr>
          <w:rStyle w:val="Strong"/>
          <w:rFonts w:ascii="Lato" w:hAnsi="Lato"/>
          <w:color w:val="2D3B45"/>
        </w:rPr>
        <w:t> Apr 27 </w:t>
      </w:r>
      <w:r>
        <w:rPr>
          <w:rFonts w:ascii="Lato" w:hAnsi="Lato"/>
          <w:color w:val="2D3B45"/>
        </w:rPr>
        <w:t>(2.0%; optional extra credit)</w:t>
      </w:r>
    </w:p>
    <w:p w14:paraId="2E878338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</w:rPr>
        <w:t>6-COVID-19 extra credit</w:t>
      </w:r>
      <w:r>
        <w:rPr>
          <w:rFonts w:ascii="Lato" w:hAnsi="Lato"/>
          <w:color w:val="2D3B45"/>
        </w:rPr>
        <w:t> </w:t>
      </w:r>
      <w:r>
        <w:rPr>
          <w:rStyle w:val="Strong"/>
          <w:rFonts w:ascii="Lato" w:hAnsi="Lato"/>
          <w:color w:val="2D3B45"/>
        </w:rPr>
        <w:t>Apr 27 </w:t>
      </w:r>
      <w:r>
        <w:rPr>
          <w:rFonts w:ascii="Lato" w:hAnsi="Lato"/>
          <w:color w:val="2D3B45"/>
        </w:rPr>
        <w:t>(1% optional extra credit)</w:t>
      </w:r>
    </w:p>
    <w:p w14:paraId="1FC1D616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 </w:t>
      </w:r>
    </w:p>
    <w:p w14:paraId="332A0136" w14:textId="77777777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Lato" w:hAnsi="Lato"/>
          <w:color w:val="2D3B45"/>
          <w:sz w:val="36"/>
          <w:szCs w:val="36"/>
        </w:rPr>
      </w:pPr>
    </w:p>
    <w:p w14:paraId="6A3EBC31" w14:textId="300E6449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  <w:sz w:val="36"/>
          <w:szCs w:val="36"/>
        </w:rPr>
        <w:lastRenderedPageBreak/>
        <w:t>MCB6937 Spring 2023 Calendar of Events</w:t>
      </w:r>
    </w:p>
    <w:p w14:paraId="03C69878" w14:textId="06672EED" w:rsidR="00A05530" w:rsidRDefault="00A05530" w:rsidP="00A05530">
      <w:pPr>
        <w:pStyle w:val="NormalWeb"/>
        <w:shd w:val="clear" w:color="auto" w:fill="FFFFFF"/>
        <w:spacing w:before="180" w:beforeAutospacing="0" w:after="180" w:afterAutospacing="0"/>
        <w:rPr>
          <w:rFonts w:ascii="Lato" w:hAnsi="Lato"/>
          <w:color w:val="2D3B45"/>
        </w:rPr>
      </w:pPr>
      <w:r>
        <w:rPr>
          <w:rFonts w:ascii="Lato" w:hAnsi="Lato"/>
          <w:noProof/>
          <w:color w:val="2D3B45"/>
          <w14:ligatures w14:val="standardContextual"/>
        </w:rPr>
        <w:drawing>
          <wp:inline distT="0" distB="0" distL="0" distR="0" wp14:anchorId="3F7FE1CF" wp14:editId="2806A661">
            <wp:extent cx="4953000" cy="7264400"/>
            <wp:effectExtent l="0" t="0" r="0" b="0"/>
            <wp:docPr id="1847010066" name="Picture 5" descr="A screenshot of a 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10066" name="Picture 5" descr="A screenshot of a calend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"https://ufl.instructure.com/courses/473372/files/75202025/preview"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50AD49B" wp14:editId="2B2AB0D9">
                <wp:extent cx="304800" cy="304800"/>
                <wp:effectExtent l="0" t="0" r="0" b="0"/>
                <wp:docPr id="65976183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BA7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A05530">
        <w:t xml:space="preserve"> </w:t>
      </w:r>
      <w:r>
        <w:fldChar w:fldCharType="begin"/>
      </w:r>
      <w:r>
        <w:instrText xml:space="preserve"> INCLUDEPICTURE "https://ufl.instructure.com/courses/473372/files/75202025/preview"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19444D0" wp14:editId="2BC06CA4">
                <wp:extent cx="304800" cy="304800"/>
                <wp:effectExtent l="0" t="0" r="0" b="0"/>
                <wp:docPr id="209974149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2C26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Pr="00A05530">
        <w:t xml:space="preserve"> </w:t>
      </w:r>
      <w:r>
        <w:fldChar w:fldCharType="begin"/>
      </w:r>
      <w:r>
        <w:instrText xml:space="preserve"> INCLUDEPICTURE "https://ufl.instructure.com/courses/473372/files/75202025/preview"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2EC97BF" wp14:editId="5BB4AFF9">
                <wp:extent cx="304800" cy="304800"/>
                <wp:effectExtent l="0" t="0" r="0" b="0"/>
                <wp:docPr id="194562562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533DE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rFonts w:ascii="Lato" w:hAnsi="Lato"/>
          <w:color w:val="2D3B45"/>
        </w:rPr>
        <w:fldChar w:fldCharType="begin"/>
      </w:r>
      <w:r>
        <w:rPr>
          <w:rFonts w:ascii="Lato" w:hAnsi="Lato"/>
          <w:color w:val="2D3B45"/>
        </w:rPr>
        <w:instrText xml:space="preserve"> INCLUDEPICTURE "https://ufl.instructure.com/courses/473372/files/75202025/preview" \* MERGEFORMATINET </w:instrText>
      </w:r>
      <w:r>
        <w:rPr>
          <w:rFonts w:ascii="Lato" w:hAnsi="Lato"/>
          <w:color w:val="2D3B45"/>
        </w:rPr>
        <w:fldChar w:fldCharType="separate"/>
      </w:r>
      <w:r>
        <w:rPr>
          <w:rFonts w:ascii="Lato" w:hAnsi="Lato"/>
          <w:color w:val="2D3B45"/>
        </w:rPr>
        <w:fldChar w:fldCharType="end"/>
      </w:r>
    </w:p>
    <w:p w14:paraId="0412453C" w14:textId="50CF63D3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fldChar w:fldCharType="begin"/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instrText xml:space="preserve"> INCLUDEPICTURE "https://prod.ally.ac/static/ally-icon-indicator-low-circle.b7cd3e0c1511a1080fd322790193604f.svg" \* MERGEFORMATINET </w:instrTex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fldChar w:fldCharType="separate"/>
      </w:r>
      <w:r w:rsidRPr="007B06D9">
        <w:rPr>
          <w:rFonts w:ascii="Lato" w:eastAsia="Times New Roman" w:hAnsi="Lato" w:cs="Times New Roman"/>
          <w:noProof/>
          <w:color w:val="2D3B45"/>
          <w:kern w:val="0"/>
          <w14:ligatures w14:val="none"/>
        </w:rPr>
        <mc:AlternateContent>
          <mc:Choice Requires="wps">
            <w:drawing>
              <wp:inline distT="0" distB="0" distL="0" distR="0" wp14:anchorId="6280348C" wp14:editId="304BB8DD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2AB29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fldChar w:fldCharType="end"/>
      </w:r>
    </w:p>
    <w:p w14:paraId="4BF6B430" w14:textId="77777777" w:rsidR="007B06D9" w:rsidRPr="007B06D9" w:rsidRDefault="007B06D9" w:rsidP="007B06D9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  <w:kern w:val="0"/>
          <w14:ligatures w14:val="none"/>
        </w:rPr>
      </w:pPr>
      <w:r w:rsidRPr="007B06D9">
        <w:rPr>
          <w:rFonts w:ascii="Lato" w:eastAsia="Times New Roman" w:hAnsi="Lato" w:cs="Times New Roman"/>
          <w:color w:val="2D3B45"/>
          <w:kern w:val="0"/>
          <w14:ligatures w14:val="none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485"/>
      </w:tblGrid>
      <w:tr w:rsidR="007B06D9" w:rsidRPr="007B06D9" w14:paraId="7C850063" w14:textId="77777777" w:rsidTr="007B06D9">
        <w:tc>
          <w:tcPr>
            <w:tcW w:w="8850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B616A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Grading Scale Numerical Equivalents</w:t>
            </w:r>
          </w:p>
        </w:tc>
      </w:tr>
      <w:tr w:rsidR="007B06D9" w:rsidRPr="007B06D9" w14:paraId="0DF41567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CD0DA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A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91 or above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4EA7B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C 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= 68-73.99(minimum needed for major)</w:t>
            </w:r>
          </w:p>
        </w:tc>
      </w:tr>
      <w:tr w:rsidR="007B06D9" w:rsidRPr="007B06D9" w14:paraId="08434076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5C40B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A-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89-90.99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EB99A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C- 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= 65-67.99</w:t>
            </w:r>
          </w:p>
        </w:tc>
      </w:tr>
      <w:tr w:rsidR="007B06D9" w:rsidRPr="007B06D9" w14:paraId="12A76BB7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C978E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B+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85-88.99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EEE43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D+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62-64.99</w:t>
            </w:r>
          </w:p>
        </w:tc>
      </w:tr>
      <w:tr w:rsidR="007B06D9" w:rsidRPr="007B06D9" w14:paraId="71913DF1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C0A1F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B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81-84.99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D1B69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D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58-61.99</w:t>
            </w:r>
          </w:p>
        </w:tc>
      </w:tr>
      <w:tr w:rsidR="007B06D9" w:rsidRPr="007B06D9" w14:paraId="7A50BAD3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024C98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B- = 79-80.99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161C6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D-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54-57.99</w:t>
            </w:r>
          </w:p>
        </w:tc>
      </w:tr>
      <w:tr w:rsidR="007B06D9" w:rsidRPr="007B06D9" w14:paraId="38B0BBF5" w14:textId="77777777" w:rsidTr="007B06D9">
        <w:tc>
          <w:tcPr>
            <w:tcW w:w="43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C1EF3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C+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 = 74-78.99</w:t>
            </w:r>
          </w:p>
        </w:tc>
        <w:tc>
          <w:tcPr>
            <w:tcW w:w="44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C1223" w14:textId="77777777" w:rsidR="007B06D9" w:rsidRPr="007B06D9" w:rsidRDefault="007B06D9" w:rsidP="007B06D9">
            <w:pPr>
              <w:spacing w:before="180" w:after="180"/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</w:pPr>
            <w:r w:rsidRPr="007B06D9">
              <w:rPr>
                <w:rFonts w:ascii="Lato" w:eastAsia="Times New Roman" w:hAnsi="Lato" w:cs="Times New Roman"/>
                <w:b/>
                <w:bCs/>
                <w:color w:val="2D3B45"/>
                <w:kern w:val="0"/>
                <w14:ligatures w14:val="none"/>
              </w:rPr>
              <w:t>E </w:t>
            </w:r>
            <w:r w:rsidRPr="007B06D9">
              <w:rPr>
                <w:rFonts w:ascii="Lato" w:eastAsia="Times New Roman" w:hAnsi="Lato" w:cs="Times New Roman"/>
                <w:color w:val="2D3B45"/>
                <w:kern w:val="0"/>
                <w14:ligatures w14:val="none"/>
              </w:rPr>
              <w:t>= 0-53.99</w:t>
            </w:r>
          </w:p>
        </w:tc>
      </w:tr>
    </w:tbl>
    <w:p w14:paraId="150DA58A" w14:textId="77777777" w:rsidR="00250DC4" w:rsidRDefault="00000000"/>
    <w:p w14:paraId="6B69DB7D" w14:textId="49D5A5D0" w:rsidR="00D44EBA" w:rsidRPr="00D44EBA" w:rsidRDefault="00D44EBA">
      <w:pPr>
        <w:rPr>
          <w:sz w:val="40"/>
          <w:szCs w:val="40"/>
        </w:rPr>
      </w:pPr>
      <w:r w:rsidRPr="00D44EBA">
        <w:rPr>
          <w:sz w:val="40"/>
          <w:szCs w:val="40"/>
        </w:rPr>
        <w:t>Course Topic Outline</w:t>
      </w:r>
    </w:p>
    <w:p w14:paraId="7DC2114F" w14:textId="7C498746" w:rsidR="00D44EBA" w:rsidRP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  <w:r w:rsidRPr="00D44EBA"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>Module 1</w:t>
      </w:r>
    </w:p>
    <w:p w14:paraId="2C90AA26" w14:textId="34D8D722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</w:pPr>
      <w:r w:rsidRPr="00F047F8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Early man:</w:t>
      </w:r>
      <w:r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  <w:t xml:space="preserve"> genetic limits to cultural development, basic assumptions of biology challenged (organism, species, multicellular life, genomic endosymbiosis).</w:t>
      </w:r>
    </w:p>
    <w:p w14:paraId="44DC47A6" w14:textId="73D175EE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</w:pPr>
      <w:r w:rsidRPr="00F047F8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DNA replication:</w:t>
      </w:r>
      <w:r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  <w:t xml:space="preserve"> Bacterial:</w:t>
      </w:r>
      <w:r w:rsidR="00505571"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  <w:t xml:space="preserve"> </w:t>
      </w:r>
      <w:r>
        <w:rPr>
          <w:rFonts w:ascii="Lato" w:eastAsia="Times New Roman" w:hAnsi="Lato" w:cs="Times New Roman"/>
          <w:color w:val="2D3B45"/>
          <w:kern w:val="0"/>
          <w:sz w:val="28"/>
          <w:szCs w:val="28"/>
          <w14:ligatures w14:val="none"/>
        </w:rPr>
        <w:t>chromosomal, plasmids, conjugation, rolling circle, linear DNAs, Adenovirus, PhiX174 phage, bacterial cell cycle, ColE1 origin, oriC, plasmid incompatibility groups, Agrobacterium pTi system and vectors.</w:t>
      </w:r>
    </w:p>
    <w:p w14:paraId="51B58EF5" w14:textId="77777777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  <w:r w:rsidRPr="00F047F8"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  <w:t>Bacterial Cell Cycle</w:t>
      </w:r>
    </w:p>
    <w:p w14:paraId="72EC4232" w14:textId="61F365E6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  <w:r w:rsidRPr="00D44EBA"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 xml:space="preserve">Module </w:t>
      </w:r>
      <w:r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>2</w:t>
      </w:r>
    </w:p>
    <w:p w14:paraId="23B406DD" w14:textId="77777777" w:rsidR="00D44EBA" w:rsidRPr="002B29F2" w:rsidRDefault="00D44EBA" w:rsidP="00D44EBA">
      <w:pP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Mitochondrial DNA replication: 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heavy and light strand replication, D-loop formation and priming, and transcription</w:t>
      </w:r>
    </w:p>
    <w:p w14:paraId="4C78072E" w14:textId="77777777" w:rsidR="00D44EBA" w:rsidRPr="002B29F2" w:rsidRDefault="00D44EBA" w:rsidP="00D44EBA">
      <w:pP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B29F2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Enzymes involved in DNA replication</w:t>
      </w: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:</w:t>
      </w:r>
    </w:p>
    <w:p w14:paraId="33B840B6" w14:textId="77777777" w:rsidR="00D44EBA" w:rsidRDefault="00D44EBA" w:rsidP="00D44EBA">
      <w:pP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Bacterial </w:t>
      </w:r>
      <w:r w:rsidRPr="002B29F2"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DNA p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o</w:t>
      </w:r>
      <w:r w:rsidRPr="002B29F2"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lymerase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s III, I, IV, and V, Eukaryotic DNA polymerases delta, epsilon, alpha &amp; gamma. Leading &amp; lagging strand synthesis, clamp, clamp loaders.</w:t>
      </w:r>
    </w:p>
    <w:p w14:paraId="3E974728" w14:textId="77777777" w:rsidR="00D44EBA" w:rsidRDefault="00D44EBA" w:rsidP="00D44EBA">
      <w:pP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 w:rsidRPr="002B29F2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Recombination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: five types of recombination in bacterial and eukaryotes, allelic conversion, RecA, activation of RecA, SOS repair system,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LexA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RecABC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and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RuvABC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, Chi sites, synaptonemal complexes, Holliday structures, SP11</w:t>
      </w:r>
    </w:p>
    <w:p w14:paraId="4C91967B" w14:textId="77777777" w:rsidR="00D44EBA" w:rsidRDefault="00D44EBA" w:rsidP="00D44EBA">
      <w:pP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2B29F2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Transposons: </w:t>
      </w:r>
    </w:p>
    <w:p w14:paraId="0846DB6E" w14:textId="77777777" w:rsidR="00D44EBA" w:rsidRDefault="00D44EBA" w:rsidP="00D44EBA">
      <w:pPr>
        <w:ind w:left="720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DNA transposons-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replicative and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Nonreplicative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 transposition mechanisms, eukaryotic-Ac/DS (maize), and P-elements (Drosophila)</w:t>
      </w:r>
    </w:p>
    <w:p w14:paraId="76372BC6" w14:textId="4E2C8F37" w:rsidR="00D44EBA" w:rsidRDefault="00D44EBA" w:rsidP="00D44EBA">
      <w:pPr>
        <w:ind w:left="720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Retrotransposons-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LTR retrotransposons, </w:t>
      </w:r>
      <w:proofErr w:type="gram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Non-LTR</w:t>
      </w:r>
      <w:proofErr w:type="gram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, retrovirus replication, SINES, and MITES</w:t>
      </w:r>
    </w:p>
    <w:p w14:paraId="099EDFCF" w14:textId="77777777" w:rsidR="00D44EBA" w:rsidRPr="00D44EBA" w:rsidRDefault="00D44EBA" w:rsidP="00D44EBA">
      <w:pPr>
        <w:ind w:left="720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</w:p>
    <w:p w14:paraId="49E99968" w14:textId="0A9831A9" w:rsidR="00D44EBA" w:rsidRP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  <w:r w:rsidRPr="00D44EBA"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 xml:space="preserve">Module </w:t>
      </w:r>
      <w:r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>3</w:t>
      </w:r>
    </w:p>
    <w:p w14:paraId="69224D41" w14:textId="77777777" w:rsidR="00D44EBA" w:rsidRDefault="00D44EBA" w:rsidP="00D44EBA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DNA Repair: </w:t>
      </w:r>
    </w:p>
    <w:p w14:paraId="63FAA3EF" w14:textId="77777777" w:rsidR="00D44EBA" w:rsidRDefault="00D44EBA" w:rsidP="00D44EBA">
      <w:pPr>
        <w:shd w:val="clear" w:color="auto" w:fill="FFFFFF"/>
        <w:spacing w:before="90" w:after="90"/>
        <w:ind w:firstLine="72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proofErr w:type="spellStart"/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Bacterial_</w:t>
      </w:r>
      <w:r w:rsidRPr="00111FD1"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nucleotide</w:t>
      </w:r>
      <w:proofErr w:type="spellEnd"/>
      <w:r w:rsidRPr="00111FD1"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 excision,</w:t>
      </w: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UvrABCD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base excision, glycosylases, lyases, mismatch repair,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MutL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MutS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MutH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error prone systems, long &amp; short patch repair, 8-oxy-G, Mfd. </w:t>
      </w:r>
    </w:p>
    <w:p w14:paraId="216FE231" w14:textId="77777777" w:rsidR="00D44EBA" w:rsidRDefault="00D44EBA" w:rsidP="00D44EBA">
      <w:pPr>
        <w:shd w:val="clear" w:color="auto" w:fill="FFFFFF"/>
        <w:spacing w:before="90" w:after="90"/>
        <w:ind w:firstLine="72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proofErr w:type="spellStart"/>
      <w:r w:rsidRPr="00111FD1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Eukaryotic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_global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 systems, transcription linked, TFIIH, XPB, XPD, XPC, Msh2, Msh3, Msh6, APE1, short &amp; long patch.</w:t>
      </w:r>
    </w:p>
    <w:p w14:paraId="5C452786" w14:textId="77777777" w:rsidR="00D44EBA" w:rsidRDefault="00D44EBA" w:rsidP="00D44EBA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 w:rsidRPr="00F64D49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Bacterial Transcription: 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RNA polymerase subunits and mechanisms, promoter recognition, Sigma70, Sigma-S, Sigma54, details of sigma domain functions (1.1, 2.3, 2.4, 3.2, 4.2), alpha subunit CTD, hairpin-helix-hairpin &amp; helix-turn-helix DNA binding domains, abortive cycling. Termination: intrinsic and Rho-dependent terminators.</w:t>
      </w:r>
    </w:p>
    <w:p w14:paraId="640A2295" w14:textId="77777777" w:rsidR="00D44EBA" w:rsidRDefault="00D44EBA" w:rsidP="00D44EBA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 w:rsidRPr="00F64D49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Operons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: Lac, Ara, GalP1, Tryptophan, attenuation, negative regulation, positive regulation, catabolite repression, CAP dependent operons, Lac repressor and CAP structure and function, Rho terminators and polarity mutants </w:t>
      </w:r>
    </w:p>
    <w:p w14:paraId="6F3E73B3" w14:textId="77777777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</w:p>
    <w:p w14:paraId="0694E487" w14:textId="57859B17" w:rsidR="00D44EBA" w:rsidRP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  <w:r w:rsidRPr="00D44EBA"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 xml:space="preserve">Module </w:t>
      </w:r>
      <w:r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  <w:t>4</w:t>
      </w:r>
    </w:p>
    <w:p w14:paraId="7396E0BF" w14:textId="77777777" w:rsidR="00D44EBA" w:rsidRDefault="00D44EBA" w:rsidP="00D44EBA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Chromatin: 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Histones (H3, 4, 2A, 2B, H3.3) archaeal origins, nucleosome structure, nucleosome assembly_Caf1, Asf1, FACT, N1, Nucleoplasmin, models for chromatin organization, +1 nucleosome, histone tails, centromeres, kinetochore, puffs, beads on a string, TRF2,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Lampbrush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, polytene, euchromatin, heterochromatin, bacterial packaging proteins, </w:t>
      </w:r>
      <w:proofErr w:type="spellStart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Telomeres_Telomerase</w:t>
      </w:r>
      <w:proofErr w:type="spellEnd"/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>, G=quartet, SIR3/Sir4, T-loops.</w:t>
      </w:r>
    </w:p>
    <w:p w14:paraId="7E38F0C0" w14:textId="73B07329" w:rsidR="00D44EBA" w:rsidRPr="00157E99" w:rsidRDefault="00D44EBA" w:rsidP="00D44EBA">
      <w:pPr>
        <w:shd w:val="clear" w:color="auto" w:fill="FFFFFF"/>
        <w:spacing w:before="90" w:after="90"/>
        <w:outlineLvl w:val="1"/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</w:pPr>
      <w:r w:rsidRPr="00157E99">
        <w:rPr>
          <w:rFonts w:ascii="Lato" w:eastAsia="Times New Roman" w:hAnsi="Lato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Eukaryotic Transcription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t xml:space="preserve">: promoters, basal factors, TBP, TAFs, SAGA, PCAF, CpG islands, TFIIB (details of structural domains), TFIIH, TFIIF, TFIIE, Mediator, TFIID &amp; SAGA (details of function), transactivators, enhancers, </w:t>
      </w:r>
      <w:r>
        <w:rPr>
          <w:rFonts w:ascii="Lato" w:eastAsia="Times New Roman" w:hAnsi="Lato" w:cs="Times New Roman"/>
          <w:color w:val="000000" w:themeColor="text1"/>
          <w:kern w:val="0"/>
          <w:sz w:val="28"/>
          <w:szCs w:val="28"/>
          <w14:ligatures w14:val="none"/>
        </w:rPr>
        <w:lastRenderedPageBreak/>
        <w:t>steroid receptors-mechanism, estrogen receptor, thyroid receptor, glucocorticoid receptor, repressors (plant and animal), leu zippers, amphipathic helices, DNA binding domains, building the preinitiation complex, brief epigenetics, chromatin remodelers.</w:t>
      </w:r>
    </w:p>
    <w:p w14:paraId="511AA766" w14:textId="77777777" w:rsidR="00D44EBA" w:rsidRP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E74B5" w:themeColor="accent5" w:themeShade="BF"/>
          <w:kern w:val="0"/>
          <w:sz w:val="32"/>
          <w:szCs w:val="32"/>
          <w14:ligatures w14:val="none"/>
        </w:rPr>
      </w:pPr>
    </w:p>
    <w:p w14:paraId="54CAE61C" w14:textId="77777777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</w:p>
    <w:p w14:paraId="3D3A3D2C" w14:textId="77777777" w:rsidR="00D44EBA" w:rsidRDefault="00D44EBA" w:rsidP="00D44EBA">
      <w:pPr>
        <w:shd w:val="clear" w:color="auto" w:fill="FFFFFF"/>
        <w:spacing w:after="75"/>
        <w:outlineLvl w:val="2"/>
        <w:rPr>
          <w:rFonts w:ascii="Lato" w:eastAsia="Times New Roman" w:hAnsi="Lato" w:cs="Times New Roman"/>
          <w:b/>
          <w:bCs/>
          <w:color w:val="2D3B45"/>
          <w:kern w:val="0"/>
          <w:sz w:val="28"/>
          <w:szCs w:val="28"/>
          <w14:ligatures w14:val="none"/>
        </w:rPr>
      </w:pPr>
    </w:p>
    <w:p w14:paraId="54A379D8" w14:textId="77777777" w:rsidR="00D44EBA" w:rsidRDefault="00D44EBA"/>
    <w:sectPr w:rsidR="00D44EBA" w:rsidSect="0097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D9"/>
    <w:rsid w:val="000541BA"/>
    <w:rsid w:val="00061F34"/>
    <w:rsid w:val="000A47E8"/>
    <w:rsid w:val="000B3F16"/>
    <w:rsid w:val="000F7334"/>
    <w:rsid w:val="00103C36"/>
    <w:rsid w:val="00152FB3"/>
    <w:rsid w:val="00180730"/>
    <w:rsid w:val="002058C4"/>
    <w:rsid w:val="00207B47"/>
    <w:rsid w:val="002836E5"/>
    <w:rsid w:val="002B13A5"/>
    <w:rsid w:val="002D6766"/>
    <w:rsid w:val="002E565F"/>
    <w:rsid w:val="00300A67"/>
    <w:rsid w:val="00356F29"/>
    <w:rsid w:val="003C5BE9"/>
    <w:rsid w:val="003E2DFF"/>
    <w:rsid w:val="003E649A"/>
    <w:rsid w:val="00404FBB"/>
    <w:rsid w:val="00430ED0"/>
    <w:rsid w:val="0043362F"/>
    <w:rsid w:val="00505571"/>
    <w:rsid w:val="005375BF"/>
    <w:rsid w:val="005D478A"/>
    <w:rsid w:val="005E5A92"/>
    <w:rsid w:val="0062421B"/>
    <w:rsid w:val="00647CC3"/>
    <w:rsid w:val="00662DD9"/>
    <w:rsid w:val="006931DB"/>
    <w:rsid w:val="006D3EB1"/>
    <w:rsid w:val="006E19B0"/>
    <w:rsid w:val="007177BA"/>
    <w:rsid w:val="007327FC"/>
    <w:rsid w:val="00764B38"/>
    <w:rsid w:val="007A162D"/>
    <w:rsid w:val="007A3639"/>
    <w:rsid w:val="007B06D9"/>
    <w:rsid w:val="007C367D"/>
    <w:rsid w:val="00843C32"/>
    <w:rsid w:val="00853621"/>
    <w:rsid w:val="008714B3"/>
    <w:rsid w:val="00897DCE"/>
    <w:rsid w:val="008A07B4"/>
    <w:rsid w:val="008D7157"/>
    <w:rsid w:val="00917617"/>
    <w:rsid w:val="00931CAC"/>
    <w:rsid w:val="00963524"/>
    <w:rsid w:val="009706D9"/>
    <w:rsid w:val="00975DE1"/>
    <w:rsid w:val="009B424F"/>
    <w:rsid w:val="009C4CA4"/>
    <w:rsid w:val="009F3534"/>
    <w:rsid w:val="00A00CCF"/>
    <w:rsid w:val="00A012F6"/>
    <w:rsid w:val="00A05530"/>
    <w:rsid w:val="00A175F4"/>
    <w:rsid w:val="00A55A77"/>
    <w:rsid w:val="00A6592B"/>
    <w:rsid w:val="00A676FA"/>
    <w:rsid w:val="00A71C9A"/>
    <w:rsid w:val="00B03C17"/>
    <w:rsid w:val="00B37978"/>
    <w:rsid w:val="00B5394D"/>
    <w:rsid w:val="00B6614A"/>
    <w:rsid w:val="00B94514"/>
    <w:rsid w:val="00BA503C"/>
    <w:rsid w:val="00BC534D"/>
    <w:rsid w:val="00BF760D"/>
    <w:rsid w:val="00C2237B"/>
    <w:rsid w:val="00C2550E"/>
    <w:rsid w:val="00C34C87"/>
    <w:rsid w:val="00C35BA6"/>
    <w:rsid w:val="00C96C6C"/>
    <w:rsid w:val="00CB7B38"/>
    <w:rsid w:val="00CC081B"/>
    <w:rsid w:val="00CC4985"/>
    <w:rsid w:val="00CC6F5B"/>
    <w:rsid w:val="00CE2340"/>
    <w:rsid w:val="00CF022C"/>
    <w:rsid w:val="00D07029"/>
    <w:rsid w:val="00D11E49"/>
    <w:rsid w:val="00D2724C"/>
    <w:rsid w:val="00D36A16"/>
    <w:rsid w:val="00D44EBA"/>
    <w:rsid w:val="00D4780B"/>
    <w:rsid w:val="00D57B8B"/>
    <w:rsid w:val="00D62BDD"/>
    <w:rsid w:val="00D764D1"/>
    <w:rsid w:val="00D779DC"/>
    <w:rsid w:val="00DC17AE"/>
    <w:rsid w:val="00DC4964"/>
    <w:rsid w:val="00DE5D16"/>
    <w:rsid w:val="00E210C4"/>
    <w:rsid w:val="00E93804"/>
    <w:rsid w:val="00EA221F"/>
    <w:rsid w:val="00ED165B"/>
    <w:rsid w:val="00ED396A"/>
    <w:rsid w:val="00F5407B"/>
    <w:rsid w:val="00F8618F"/>
    <w:rsid w:val="00FC4B7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F20E"/>
  <w15:chartTrackingRefBased/>
  <w15:docId w15:val="{7677B0A7-00D3-154F-8232-E7A1B2B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6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D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B06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B06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6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0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l.instructure.com/courses/383298/assignments/3974408" TargetMode="External"/><Relationship Id="rId5" Type="http://schemas.openxmlformats.org/officeDocument/2006/relationships/hyperlink" Target="https://ufl.instructure.com/courses/383298/assignments/3974407" TargetMode="External"/><Relationship Id="rId4" Type="http://schemas.openxmlformats.org/officeDocument/2006/relationships/hyperlink" Target="https://ufl.instructure.com/courses/383298/assignments/39744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Gurley</dc:creator>
  <cp:keywords/>
  <dc:description/>
  <cp:lastModifiedBy>Gurley,William B</cp:lastModifiedBy>
  <cp:revision>4</cp:revision>
  <dcterms:created xsi:type="dcterms:W3CDTF">2023-05-15T14:09:00Z</dcterms:created>
  <dcterms:modified xsi:type="dcterms:W3CDTF">2023-05-15T14:15:00Z</dcterms:modified>
</cp:coreProperties>
</file>